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88E0B" w14:textId="77777777" w:rsidR="00657DEB" w:rsidRPr="003310FE" w:rsidRDefault="00657DEB" w:rsidP="00657DEB">
      <w:pPr>
        <w:jc w:val="both"/>
        <w:rPr>
          <w:rFonts w:asciiTheme="minorHAnsi" w:hAnsiTheme="minorHAnsi"/>
        </w:rPr>
      </w:pPr>
    </w:p>
    <w:p w14:paraId="703959F6" w14:textId="77777777" w:rsidR="00012CB6" w:rsidRPr="00012CB6" w:rsidRDefault="00657DEB" w:rsidP="00012CB6">
      <w:pPr>
        <w:jc w:val="center"/>
        <w:rPr>
          <w:rFonts w:asciiTheme="minorHAnsi" w:hAnsiTheme="minorHAnsi"/>
          <w:b/>
          <w:sz w:val="28"/>
          <w:szCs w:val="28"/>
        </w:rPr>
      </w:pPr>
      <w:r w:rsidRPr="003310FE">
        <w:rPr>
          <w:rFonts w:asciiTheme="minorHAnsi" w:hAnsiTheme="minorHAnsi"/>
          <w:b/>
          <w:sz w:val="28"/>
          <w:szCs w:val="28"/>
        </w:rPr>
        <w:t>IDEC presenta informe de seguimiento y monitoreo a la política educativa preuniversitaria</w:t>
      </w:r>
      <w:r w:rsidR="00012CB6">
        <w:rPr>
          <w:rFonts w:asciiTheme="minorHAnsi" w:hAnsiTheme="minorHAnsi"/>
          <w:b/>
          <w:sz w:val="28"/>
          <w:szCs w:val="28"/>
        </w:rPr>
        <w:t xml:space="preserve"> </w:t>
      </w:r>
      <w:r w:rsidR="00012CB6" w:rsidRPr="00012CB6">
        <w:rPr>
          <w:rFonts w:asciiTheme="minorHAnsi" w:hAnsiTheme="minorHAnsi"/>
          <w:b/>
          <w:sz w:val="28"/>
          <w:szCs w:val="28"/>
        </w:rPr>
        <w:t>preuniversitaria y destaca aspectos críticos de cara a las consecuencias de la pandemia y formas para enfrentarlas</w:t>
      </w:r>
    </w:p>
    <w:p w14:paraId="7E2E3DB2" w14:textId="633D1B91" w:rsidR="00657DEB" w:rsidRPr="003310FE" w:rsidRDefault="00657DEB" w:rsidP="00657DEB">
      <w:pPr>
        <w:jc w:val="center"/>
        <w:rPr>
          <w:rFonts w:asciiTheme="minorHAnsi" w:hAnsiTheme="minorHAnsi"/>
          <w:b/>
          <w:sz w:val="28"/>
          <w:szCs w:val="28"/>
        </w:rPr>
      </w:pPr>
    </w:p>
    <w:p w14:paraId="4F01BFB0" w14:textId="77777777" w:rsidR="00657DEB" w:rsidRPr="003310FE" w:rsidRDefault="00657DEB" w:rsidP="00657DEB">
      <w:pPr>
        <w:jc w:val="both"/>
        <w:rPr>
          <w:rFonts w:asciiTheme="minorHAnsi" w:hAnsiTheme="minorHAnsi"/>
        </w:rPr>
      </w:pPr>
    </w:p>
    <w:p w14:paraId="11239DAE" w14:textId="3C62F5C8" w:rsidR="00657DEB" w:rsidRPr="003310FE" w:rsidRDefault="00657DEB" w:rsidP="00657DEB">
      <w:pPr>
        <w:rPr>
          <w:rFonts w:asciiTheme="minorHAnsi" w:eastAsiaTheme="minorHAnsi" w:hAnsiTheme="minorHAnsi" w:cstheme="minorHAnsi"/>
          <w:lang w:val="es-CO"/>
        </w:rPr>
      </w:pPr>
      <w:r w:rsidRPr="003310FE">
        <w:rPr>
          <w:rFonts w:asciiTheme="minorHAnsi" w:hAnsiTheme="minorHAnsi" w:cstheme="minorHAnsi"/>
          <w:lang w:val="es-CO"/>
        </w:rPr>
        <w:t>1 DE JUNIO 2021 | NOTA INFORMATIVA</w:t>
      </w:r>
      <w:r w:rsidRPr="003310FE">
        <w:rPr>
          <w:rFonts w:asciiTheme="minorHAnsi" w:hAnsiTheme="minorHAnsi" w:cstheme="minorHAnsi"/>
          <w:lang w:val="es-CO"/>
        </w:rPr>
        <w:br/>
      </w:r>
    </w:p>
    <w:p w14:paraId="4E89A7AC" w14:textId="3F34C815" w:rsidR="00657DEB" w:rsidRPr="003310FE" w:rsidRDefault="00657DEB" w:rsidP="003310FE">
      <w:pPr>
        <w:jc w:val="both"/>
        <w:rPr>
          <w:rFonts w:asciiTheme="majorHAnsi" w:hAnsiTheme="majorHAnsi" w:cstheme="majorHAnsi"/>
        </w:rPr>
      </w:pPr>
      <w:r w:rsidRPr="003310FE">
        <w:rPr>
          <w:rFonts w:asciiTheme="majorHAnsi" w:hAnsiTheme="majorHAnsi" w:cstheme="majorHAnsi"/>
          <w:b/>
          <w:bCs/>
        </w:rPr>
        <w:t>Santo Domingo, D.N.</w:t>
      </w:r>
      <w:r w:rsidRPr="003310FE">
        <w:rPr>
          <w:rFonts w:asciiTheme="majorHAnsi" w:hAnsiTheme="majorHAnsi" w:cstheme="majorHAnsi"/>
        </w:rPr>
        <w:t xml:space="preserve">  Este martes 1 de junio, la Iniciativa Dominicana por una Educación de Calidad (IDEC) presentó su “</w:t>
      </w:r>
      <w:r w:rsidRPr="003310FE">
        <w:rPr>
          <w:rFonts w:asciiTheme="majorHAnsi" w:hAnsiTheme="majorHAnsi" w:cstheme="majorHAnsi"/>
          <w:b/>
          <w:bCs/>
        </w:rPr>
        <w:t>Informe anual de Seguimiento y Monitoreo 2020</w:t>
      </w:r>
      <w:r w:rsidRPr="003310FE">
        <w:rPr>
          <w:rFonts w:asciiTheme="majorHAnsi" w:hAnsiTheme="majorHAnsi" w:cstheme="majorHAnsi"/>
        </w:rPr>
        <w:t>.” Este informe es el número catorce presentado por la IDEC desde su creación en el año 2012.</w:t>
      </w:r>
    </w:p>
    <w:p w14:paraId="1C4F86CF" w14:textId="77777777" w:rsidR="00657DEB" w:rsidRPr="003310FE" w:rsidRDefault="00657DEB" w:rsidP="003310FE">
      <w:pPr>
        <w:jc w:val="both"/>
        <w:rPr>
          <w:rFonts w:asciiTheme="majorHAnsi" w:hAnsiTheme="majorHAnsi" w:cstheme="majorHAnsi"/>
        </w:rPr>
      </w:pPr>
    </w:p>
    <w:p w14:paraId="0053DB70" w14:textId="30EE4F61" w:rsidR="00990B8F" w:rsidRPr="003310FE" w:rsidRDefault="00657DEB" w:rsidP="003310FE">
      <w:pPr>
        <w:jc w:val="both"/>
        <w:rPr>
          <w:rFonts w:asciiTheme="majorHAnsi" w:hAnsiTheme="majorHAnsi" w:cstheme="majorHAnsi"/>
        </w:rPr>
      </w:pPr>
      <w:r w:rsidRPr="003310FE">
        <w:rPr>
          <w:rFonts w:asciiTheme="majorHAnsi" w:hAnsiTheme="majorHAnsi" w:cstheme="majorHAnsi"/>
        </w:rPr>
        <w:t>En el documento se incluyen datos estadísticos e indicadores educativos publicados por el MINERD hasta el cierre del año escolar 2019, lo que permite tener una perspectiva sobre la evolución de las grandes cifras del sistema educativo desde el año 2012</w:t>
      </w:r>
      <w:r w:rsidR="00600DD3" w:rsidRPr="003310FE">
        <w:rPr>
          <w:rFonts w:asciiTheme="majorHAnsi" w:hAnsiTheme="majorHAnsi" w:cstheme="majorHAnsi"/>
        </w:rPr>
        <w:t xml:space="preserve">. </w:t>
      </w:r>
      <w:r w:rsidR="00990B8F" w:rsidRPr="003310FE">
        <w:rPr>
          <w:rFonts w:asciiTheme="majorHAnsi" w:hAnsiTheme="majorHAnsi" w:cstheme="majorHAnsi"/>
        </w:rPr>
        <w:t>Se resalta el aumento de la matrícula y escolarización en el sector público</w:t>
      </w:r>
      <w:r w:rsidR="00007CC5" w:rsidRPr="003310FE">
        <w:rPr>
          <w:rFonts w:asciiTheme="majorHAnsi" w:hAnsiTheme="majorHAnsi" w:cstheme="majorHAnsi"/>
        </w:rPr>
        <w:t xml:space="preserve">, </w:t>
      </w:r>
      <w:r w:rsidR="00990B8F" w:rsidRPr="003310FE">
        <w:rPr>
          <w:rFonts w:asciiTheme="majorHAnsi" w:hAnsiTheme="majorHAnsi" w:cstheme="majorHAnsi"/>
        </w:rPr>
        <w:t>el importante aumento de la cobertura escolar en niños y niñas en la Educación Inicial gracias a la expansión de los servicios de atención a la Primera Infancia y el aumento de la asistencia escolar en el grado Preprimario</w:t>
      </w:r>
      <w:r w:rsidR="00007CC5" w:rsidRPr="003310FE">
        <w:rPr>
          <w:rFonts w:asciiTheme="majorHAnsi" w:hAnsiTheme="majorHAnsi" w:cstheme="majorHAnsi"/>
        </w:rPr>
        <w:t xml:space="preserve">. </w:t>
      </w:r>
    </w:p>
    <w:p w14:paraId="065AD746" w14:textId="2C1605B2" w:rsidR="00990B8F" w:rsidRPr="003310FE" w:rsidRDefault="00990B8F" w:rsidP="003310FE">
      <w:pPr>
        <w:jc w:val="both"/>
        <w:rPr>
          <w:rFonts w:asciiTheme="majorHAnsi" w:hAnsiTheme="majorHAnsi" w:cstheme="majorHAnsi"/>
        </w:rPr>
      </w:pPr>
    </w:p>
    <w:p w14:paraId="6CD511C8" w14:textId="7D1179D1" w:rsidR="00657DEB" w:rsidRPr="003310FE" w:rsidRDefault="00990B8F" w:rsidP="003310FE">
      <w:pPr>
        <w:jc w:val="both"/>
        <w:rPr>
          <w:rFonts w:asciiTheme="majorHAnsi" w:hAnsiTheme="majorHAnsi" w:cstheme="majorHAnsi"/>
        </w:rPr>
      </w:pPr>
      <w:r w:rsidRPr="003310FE">
        <w:rPr>
          <w:rFonts w:asciiTheme="majorHAnsi" w:hAnsiTheme="majorHAnsi" w:cstheme="majorHAnsi"/>
        </w:rPr>
        <w:t>A</w:t>
      </w:r>
      <w:r w:rsidR="00600DD3" w:rsidRPr="003310FE">
        <w:rPr>
          <w:rFonts w:asciiTheme="majorHAnsi" w:hAnsiTheme="majorHAnsi" w:cstheme="majorHAnsi"/>
        </w:rPr>
        <w:t>nte la pandemia de Covid-19</w:t>
      </w:r>
      <w:r w:rsidRPr="003310FE">
        <w:rPr>
          <w:rFonts w:asciiTheme="majorHAnsi" w:hAnsiTheme="majorHAnsi" w:cstheme="majorHAnsi"/>
        </w:rPr>
        <w:t xml:space="preserve">, </w:t>
      </w:r>
      <w:r w:rsidR="00007CC5" w:rsidRPr="003310FE">
        <w:rPr>
          <w:rFonts w:asciiTheme="majorHAnsi" w:hAnsiTheme="majorHAnsi" w:cstheme="majorHAnsi"/>
        </w:rPr>
        <w:t xml:space="preserve">varios </w:t>
      </w:r>
      <w:r w:rsidRPr="003310FE">
        <w:rPr>
          <w:rFonts w:asciiTheme="majorHAnsi" w:hAnsiTheme="majorHAnsi" w:cstheme="majorHAnsi"/>
        </w:rPr>
        <w:t xml:space="preserve">estudios </w:t>
      </w:r>
      <w:r w:rsidR="00474E02" w:rsidRPr="003310FE">
        <w:rPr>
          <w:rFonts w:asciiTheme="majorHAnsi" w:hAnsiTheme="majorHAnsi" w:cstheme="majorHAnsi"/>
        </w:rPr>
        <w:t xml:space="preserve">destacan </w:t>
      </w:r>
      <w:r w:rsidRPr="003310FE">
        <w:rPr>
          <w:rFonts w:asciiTheme="majorHAnsi" w:hAnsiTheme="majorHAnsi" w:cstheme="majorHAnsi"/>
        </w:rPr>
        <w:t xml:space="preserve">la alta probabilidad de retraso en los aprendizajes, el aumento de la tasa de abandono escolar y el impacto psicoemocional en estudiantes. IDEC </w:t>
      </w:r>
      <w:r w:rsidR="00474E02" w:rsidRPr="003310FE">
        <w:rPr>
          <w:rFonts w:asciiTheme="majorHAnsi" w:hAnsiTheme="majorHAnsi" w:cstheme="majorHAnsi"/>
        </w:rPr>
        <w:t xml:space="preserve">subraya </w:t>
      </w:r>
      <w:r w:rsidRPr="003310FE">
        <w:rPr>
          <w:rFonts w:asciiTheme="majorHAnsi" w:hAnsiTheme="majorHAnsi" w:cstheme="majorHAnsi"/>
        </w:rPr>
        <w:t xml:space="preserve">el enorme esfuerzo realizado por el MINERD y las medidas adoptadas </w:t>
      </w:r>
      <w:r w:rsidR="00600DD3" w:rsidRPr="003310FE">
        <w:rPr>
          <w:rFonts w:asciiTheme="majorHAnsi" w:hAnsiTheme="majorHAnsi" w:cstheme="majorHAnsi"/>
        </w:rPr>
        <w:t>en su plan “Educación para todos preservando la salud”</w:t>
      </w:r>
      <w:r w:rsidR="003310FE" w:rsidRPr="003310FE">
        <w:rPr>
          <w:rFonts w:asciiTheme="majorHAnsi" w:hAnsiTheme="majorHAnsi" w:cstheme="majorHAnsi"/>
        </w:rPr>
        <w:t xml:space="preserve">, </w:t>
      </w:r>
      <w:r w:rsidR="00600DD3" w:rsidRPr="003310FE">
        <w:rPr>
          <w:rFonts w:asciiTheme="majorHAnsi" w:hAnsiTheme="majorHAnsi" w:cstheme="majorHAnsi"/>
        </w:rPr>
        <w:t xml:space="preserve">caracterizado por </w:t>
      </w:r>
      <w:r w:rsidR="00474E02" w:rsidRPr="003310FE">
        <w:rPr>
          <w:rFonts w:asciiTheme="majorHAnsi" w:hAnsiTheme="majorHAnsi" w:cstheme="majorHAnsi"/>
        </w:rPr>
        <w:t xml:space="preserve">la </w:t>
      </w:r>
      <w:r w:rsidR="00600DD3" w:rsidRPr="003310FE">
        <w:rPr>
          <w:rFonts w:asciiTheme="majorHAnsi" w:hAnsiTheme="majorHAnsi" w:cstheme="majorHAnsi"/>
        </w:rPr>
        <w:t xml:space="preserve">entrega de laptops y capacitación a docentes, entrega de cuadernillos impresos para estudiantes y Guías de Orientación Docente, </w:t>
      </w:r>
      <w:r w:rsidR="00474E02" w:rsidRPr="003310FE">
        <w:rPr>
          <w:rFonts w:asciiTheme="majorHAnsi" w:hAnsiTheme="majorHAnsi" w:cstheme="majorHAnsi"/>
        </w:rPr>
        <w:t xml:space="preserve">la </w:t>
      </w:r>
      <w:r w:rsidR="00600DD3" w:rsidRPr="003310FE">
        <w:rPr>
          <w:rFonts w:asciiTheme="majorHAnsi" w:hAnsiTheme="majorHAnsi" w:cstheme="majorHAnsi"/>
        </w:rPr>
        <w:t>estrategia de clases a distancia por TV y radio</w:t>
      </w:r>
      <w:r w:rsidR="00474E02" w:rsidRPr="003310FE">
        <w:rPr>
          <w:rFonts w:asciiTheme="majorHAnsi" w:hAnsiTheme="majorHAnsi" w:cstheme="majorHAnsi"/>
        </w:rPr>
        <w:t xml:space="preserve"> y la </w:t>
      </w:r>
      <w:r w:rsidR="00600DD3" w:rsidRPr="003310FE">
        <w:rPr>
          <w:rFonts w:asciiTheme="majorHAnsi" w:hAnsiTheme="majorHAnsi" w:cstheme="majorHAnsi"/>
        </w:rPr>
        <w:t>adquisición de laptops y tabletas para estudiantes.</w:t>
      </w:r>
      <w:r w:rsidR="00007CC5" w:rsidRPr="003310FE">
        <w:rPr>
          <w:rFonts w:asciiTheme="majorHAnsi" w:hAnsiTheme="majorHAnsi" w:cstheme="majorHAnsi"/>
        </w:rPr>
        <w:t xml:space="preserve"> </w:t>
      </w:r>
    </w:p>
    <w:p w14:paraId="35330701" w14:textId="77777777" w:rsidR="00600DD3" w:rsidRPr="003310FE" w:rsidRDefault="00600DD3" w:rsidP="003310FE">
      <w:pPr>
        <w:jc w:val="both"/>
        <w:rPr>
          <w:rFonts w:asciiTheme="majorHAnsi" w:hAnsiTheme="majorHAnsi" w:cstheme="majorHAnsi"/>
        </w:rPr>
      </w:pPr>
    </w:p>
    <w:p w14:paraId="7762B1CA" w14:textId="6025804C" w:rsidR="004777E1" w:rsidRPr="003310FE" w:rsidRDefault="00990B8F" w:rsidP="003310FE">
      <w:pPr>
        <w:jc w:val="both"/>
        <w:rPr>
          <w:rFonts w:asciiTheme="majorHAnsi" w:hAnsiTheme="majorHAnsi" w:cstheme="majorHAnsi"/>
        </w:rPr>
      </w:pPr>
      <w:r w:rsidRPr="003310FE">
        <w:rPr>
          <w:rFonts w:asciiTheme="majorHAnsi" w:hAnsiTheme="majorHAnsi" w:cstheme="majorHAnsi"/>
        </w:rPr>
        <w:t xml:space="preserve">El informe IDEC presenta </w:t>
      </w:r>
      <w:r w:rsidR="00007CC5" w:rsidRPr="003310FE">
        <w:rPr>
          <w:rFonts w:asciiTheme="majorHAnsi" w:hAnsiTheme="majorHAnsi" w:cstheme="majorHAnsi"/>
        </w:rPr>
        <w:t xml:space="preserve">recomendaciones para poner especial atención en </w:t>
      </w:r>
      <w:r w:rsidR="00007CC5" w:rsidRPr="003310FE">
        <w:rPr>
          <w:rFonts w:asciiTheme="majorHAnsi" w:hAnsiTheme="majorHAnsi" w:cstheme="majorHAnsi"/>
          <w:b/>
          <w:bCs/>
        </w:rPr>
        <w:t>poblaciones vulnerables</w:t>
      </w:r>
      <w:r w:rsidR="00007CC5" w:rsidRPr="003310FE">
        <w:rPr>
          <w:rFonts w:asciiTheme="majorHAnsi" w:hAnsiTheme="majorHAnsi" w:cstheme="majorHAnsi"/>
        </w:rPr>
        <w:t xml:space="preserve">, la implementación de </w:t>
      </w:r>
      <w:r w:rsidR="00007CC5" w:rsidRPr="003310FE">
        <w:rPr>
          <w:rFonts w:asciiTheme="majorHAnsi" w:hAnsiTheme="majorHAnsi" w:cstheme="majorHAnsi"/>
          <w:b/>
          <w:bCs/>
        </w:rPr>
        <w:t>programas de refuerzo</w:t>
      </w:r>
      <w:r w:rsidR="00007CC5" w:rsidRPr="003310FE">
        <w:rPr>
          <w:rFonts w:asciiTheme="majorHAnsi" w:hAnsiTheme="majorHAnsi" w:cstheme="majorHAnsi"/>
        </w:rPr>
        <w:t xml:space="preserve"> y atención personalizada a estudiantes en riesgo de repitencia incluyendo programas de formación virtual complementaria. </w:t>
      </w:r>
      <w:r w:rsidR="004777E1" w:rsidRPr="003310FE">
        <w:rPr>
          <w:rFonts w:asciiTheme="majorHAnsi" w:hAnsiTheme="majorHAnsi" w:cstheme="majorHAnsi"/>
        </w:rPr>
        <w:t xml:space="preserve">Estudios confirman que los </w:t>
      </w:r>
      <w:r w:rsidR="004777E1" w:rsidRPr="003310FE">
        <w:rPr>
          <w:rFonts w:asciiTheme="majorHAnsi" w:hAnsiTheme="majorHAnsi" w:cstheme="majorHAnsi"/>
          <w:b/>
          <w:bCs/>
        </w:rPr>
        <w:t>dispositivos tecnológicos</w:t>
      </w:r>
      <w:r w:rsidR="004777E1" w:rsidRPr="003310FE">
        <w:rPr>
          <w:rFonts w:asciiTheme="majorHAnsi" w:hAnsiTheme="majorHAnsi" w:cstheme="majorHAnsi"/>
        </w:rPr>
        <w:t xml:space="preserve"> pueden ser una herramienta de apoyo al mejoramiento de los aprendizajes, pero sólo tienen sentido si se diseñan como parte de un sistema coherente donde confluyan de forma articulada la formación docente, el currículo priorizado, la conectividad, energía eléctrica, acceso a dispositivos, generación de contenidos y uso de las plataformas educativas.</w:t>
      </w:r>
    </w:p>
    <w:p w14:paraId="4A328748" w14:textId="77777777" w:rsidR="00474E02" w:rsidRPr="003310FE" w:rsidRDefault="00474E02" w:rsidP="003310FE">
      <w:pPr>
        <w:jc w:val="both"/>
        <w:rPr>
          <w:rFonts w:asciiTheme="majorHAnsi" w:hAnsiTheme="majorHAnsi" w:cstheme="majorHAnsi"/>
        </w:rPr>
      </w:pPr>
    </w:p>
    <w:p w14:paraId="05D559E1" w14:textId="57BEB4FF" w:rsidR="00007CC5" w:rsidRPr="003310FE" w:rsidRDefault="00007CC5" w:rsidP="003310FE">
      <w:pPr>
        <w:jc w:val="both"/>
        <w:rPr>
          <w:rFonts w:asciiTheme="majorHAnsi" w:hAnsiTheme="majorHAnsi" w:cstheme="majorHAnsi"/>
        </w:rPr>
      </w:pPr>
      <w:r w:rsidRPr="003310FE">
        <w:rPr>
          <w:rFonts w:asciiTheme="majorHAnsi" w:hAnsiTheme="majorHAnsi" w:cstheme="majorHAnsi"/>
        </w:rPr>
        <w:t xml:space="preserve">En ese sentido IDEC reitera la importancia de </w:t>
      </w:r>
      <w:r w:rsidRPr="003310FE">
        <w:rPr>
          <w:rFonts w:asciiTheme="majorHAnsi" w:hAnsiTheme="majorHAnsi" w:cstheme="majorHAnsi"/>
          <w:b/>
          <w:bCs/>
        </w:rPr>
        <w:t>libros de texto individuales</w:t>
      </w:r>
      <w:r w:rsidRPr="003310FE">
        <w:rPr>
          <w:rFonts w:asciiTheme="majorHAnsi" w:hAnsiTheme="majorHAnsi" w:cstheme="majorHAnsi"/>
        </w:rPr>
        <w:t xml:space="preserve"> para todos los niños, niñas y adolescentes, como recurso </w:t>
      </w:r>
      <w:r w:rsidR="004777E1" w:rsidRPr="003310FE">
        <w:rPr>
          <w:rFonts w:asciiTheme="majorHAnsi" w:hAnsiTheme="majorHAnsi" w:cstheme="majorHAnsi"/>
        </w:rPr>
        <w:t xml:space="preserve">básico para potenciar aprendizajes. </w:t>
      </w:r>
    </w:p>
    <w:p w14:paraId="2D549175" w14:textId="07E2DAA0" w:rsidR="00007CC5" w:rsidRPr="003310FE" w:rsidRDefault="00007CC5" w:rsidP="003310FE">
      <w:pPr>
        <w:jc w:val="both"/>
        <w:rPr>
          <w:rFonts w:asciiTheme="majorHAnsi" w:hAnsiTheme="majorHAnsi" w:cstheme="majorHAnsi"/>
        </w:rPr>
      </w:pPr>
    </w:p>
    <w:p w14:paraId="19A61DAB" w14:textId="3557E76E" w:rsidR="00AC1680" w:rsidRPr="003310FE" w:rsidRDefault="004777E1" w:rsidP="003310FE">
      <w:pPr>
        <w:jc w:val="both"/>
        <w:rPr>
          <w:rFonts w:asciiTheme="majorHAnsi" w:hAnsiTheme="majorHAnsi" w:cstheme="majorHAnsi"/>
        </w:rPr>
      </w:pPr>
      <w:r w:rsidRPr="003310FE">
        <w:rPr>
          <w:rFonts w:asciiTheme="majorHAnsi" w:hAnsiTheme="majorHAnsi" w:cstheme="majorHAnsi"/>
        </w:rPr>
        <w:t>Entre los avances en el Sistema se plantea la asunción de una cultura de evaluación nacional e internacional como un hecho ya establecido en el país</w:t>
      </w:r>
      <w:r w:rsidR="00AC1680" w:rsidRPr="003310FE">
        <w:rPr>
          <w:rFonts w:asciiTheme="majorHAnsi" w:hAnsiTheme="majorHAnsi" w:cstheme="majorHAnsi"/>
        </w:rPr>
        <w:t xml:space="preserve">, gracias a la aplicación </w:t>
      </w:r>
      <w:r w:rsidR="00474E02" w:rsidRPr="003310FE">
        <w:rPr>
          <w:rFonts w:asciiTheme="majorHAnsi" w:hAnsiTheme="majorHAnsi" w:cstheme="majorHAnsi"/>
        </w:rPr>
        <w:t xml:space="preserve">de </w:t>
      </w:r>
      <w:r w:rsidRPr="003310FE">
        <w:rPr>
          <w:rFonts w:asciiTheme="majorHAnsi" w:hAnsiTheme="majorHAnsi" w:cstheme="majorHAnsi"/>
        </w:rPr>
        <w:t xml:space="preserve">pruebas diagnósticas </w:t>
      </w:r>
      <w:r w:rsidR="00AC1680" w:rsidRPr="003310FE">
        <w:rPr>
          <w:rFonts w:asciiTheme="majorHAnsi" w:hAnsiTheme="majorHAnsi" w:cstheme="majorHAnsi"/>
        </w:rPr>
        <w:t xml:space="preserve">nacionales e internacionales. </w:t>
      </w:r>
      <w:r w:rsidRPr="003310FE">
        <w:rPr>
          <w:rFonts w:asciiTheme="majorHAnsi" w:hAnsiTheme="majorHAnsi" w:cstheme="majorHAnsi"/>
        </w:rPr>
        <w:t xml:space="preserve">Como consecuencia de la pandemia, todas las pruebas del año 2020 fueron suspendidas y postergadas, </w:t>
      </w:r>
      <w:r w:rsidR="00AC1680" w:rsidRPr="003310FE">
        <w:rPr>
          <w:rFonts w:asciiTheme="majorHAnsi" w:hAnsiTheme="majorHAnsi" w:cstheme="majorHAnsi"/>
        </w:rPr>
        <w:t xml:space="preserve">a excepción del Estudio Internacional de Educación Cívica y Ciudadanía (ICCS) </w:t>
      </w:r>
      <w:r w:rsidR="00474E02" w:rsidRPr="003310FE">
        <w:rPr>
          <w:rFonts w:asciiTheme="majorHAnsi" w:hAnsiTheme="majorHAnsi" w:cstheme="majorHAnsi"/>
        </w:rPr>
        <w:t xml:space="preserve">al </w:t>
      </w:r>
      <w:r w:rsidR="00AC1680" w:rsidRPr="003310FE">
        <w:rPr>
          <w:rFonts w:asciiTheme="majorHAnsi" w:hAnsiTheme="majorHAnsi" w:cstheme="majorHAnsi"/>
        </w:rPr>
        <w:t xml:space="preserve">cual el país no firmó su participación para </w:t>
      </w:r>
      <w:r w:rsidR="00474E02" w:rsidRPr="003310FE">
        <w:rPr>
          <w:rFonts w:asciiTheme="majorHAnsi" w:hAnsiTheme="majorHAnsi" w:cstheme="majorHAnsi"/>
        </w:rPr>
        <w:t xml:space="preserve">para la próxima edición </w:t>
      </w:r>
      <w:r w:rsidR="00AC1680" w:rsidRPr="003310FE">
        <w:rPr>
          <w:rFonts w:asciiTheme="majorHAnsi" w:hAnsiTheme="majorHAnsi" w:cstheme="majorHAnsi"/>
        </w:rPr>
        <w:t>contemplad</w:t>
      </w:r>
      <w:r w:rsidR="00474E02" w:rsidRPr="003310FE">
        <w:rPr>
          <w:rFonts w:asciiTheme="majorHAnsi" w:hAnsiTheme="majorHAnsi" w:cstheme="majorHAnsi"/>
        </w:rPr>
        <w:t>a</w:t>
      </w:r>
      <w:r w:rsidR="00AC1680" w:rsidRPr="003310FE">
        <w:rPr>
          <w:rFonts w:asciiTheme="majorHAnsi" w:hAnsiTheme="majorHAnsi" w:cstheme="majorHAnsi"/>
        </w:rPr>
        <w:t xml:space="preserve"> para el 2022. IDEC sugiere </w:t>
      </w:r>
      <w:r w:rsidR="00AC1680" w:rsidRPr="003310FE">
        <w:rPr>
          <w:rFonts w:asciiTheme="majorHAnsi" w:hAnsiTheme="majorHAnsi" w:cstheme="majorHAnsi"/>
          <w:b/>
          <w:bCs/>
        </w:rPr>
        <w:t xml:space="preserve">la continuidad de la aplicación de las pruebas nacionales </w:t>
      </w:r>
      <w:r w:rsidR="00AC1680" w:rsidRPr="003310FE">
        <w:rPr>
          <w:rFonts w:asciiTheme="majorHAnsi" w:hAnsiTheme="majorHAnsi" w:cstheme="majorHAnsi"/>
        </w:rPr>
        <w:t xml:space="preserve">como punto vital para el progreso que </w:t>
      </w:r>
      <w:r w:rsidR="00AC1680" w:rsidRPr="003310FE">
        <w:rPr>
          <w:rFonts w:asciiTheme="majorHAnsi" w:hAnsiTheme="majorHAnsi" w:cstheme="majorHAnsi"/>
        </w:rPr>
        <w:lastRenderedPageBreak/>
        <w:t>se había alcanzado y tomar decisiones con evidencia que respalde su pertinencia. Lo mismo aplica para las pruebas diagnósticas locales y la relevancia de mantener las pruebas internacionales (PISA, Educación Cívica y TERCE).</w:t>
      </w:r>
    </w:p>
    <w:p w14:paraId="3B2192E1" w14:textId="120CA219" w:rsidR="00AC1680" w:rsidRPr="003310FE" w:rsidRDefault="00AC1680" w:rsidP="003310FE">
      <w:pPr>
        <w:jc w:val="both"/>
        <w:rPr>
          <w:rFonts w:asciiTheme="majorHAnsi" w:hAnsiTheme="majorHAnsi" w:cstheme="majorHAnsi"/>
        </w:rPr>
      </w:pPr>
    </w:p>
    <w:p w14:paraId="505CA7AC" w14:textId="55397B9D" w:rsidR="00852E79" w:rsidRPr="003310FE" w:rsidRDefault="00AC1680" w:rsidP="003310FE">
      <w:pPr>
        <w:jc w:val="both"/>
        <w:rPr>
          <w:rFonts w:asciiTheme="majorHAnsi" w:hAnsiTheme="majorHAnsi" w:cstheme="majorHAnsi"/>
        </w:rPr>
      </w:pPr>
      <w:r w:rsidRPr="003310FE">
        <w:rPr>
          <w:rFonts w:asciiTheme="majorHAnsi" w:hAnsiTheme="majorHAnsi" w:cstheme="majorHAnsi"/>
        </w:rPr>
        <w:t xml:space="preserve">Se reporta un bajo cumplimiento de las metas trazadas para los indicadores de formación y carrera docente. En el período 2017-2020, según los datos de la Memoria del </w:t>
      </w:r>
      <w:r w:rsidR="00B428F7" w:rsidRPr="003310FE">
        <w:rPr>
          <w:rFonts w:asciiTheme="majorHAnsi" w:hAnsiTheme="majorHAnsi" w:cstheme="majorHAnsi"/>
        </w:rPr>
        <w:t>MESCyT</w:t>
      </w:r>
      <w:r w:rsidRPr="003310FE">
        <w:rPr>
          <w:rFonts w:asciiTheme="majorHAnsi" w:hAnsiTheme="majorHAnsi" w:cstheme="majorHAnsi"/>
        </w:rPr>
        <w:t xml:space="preserve"> del año 2020, un total de 100,777 estudiantes postulantes a la carrera de Educación se presentaron a la prueba POMA, superándola 48,167 (48 %). De ellos, un 65 % se presentó a la PAA, superándola 10,348 (un 33 %). Ante esta realidad y la polémica </w:t>
      </w:r>
      <w:r w:rsidR="00852E79" w:rsidRPr="003310FE">
        <w:rPr>
          <w:rFonts w:asciiTheme="majorHAnsi" w:hAnsiTheme="majorHAnsi" w:cstheme="majorHAnsi"/>
        </w:rPr>
        <w:t>interrupción de la aplicación de la normativ</w:t>
      </w:r>
      <w:r w:rsidR="00B428F7" w:rsidRPr="003310FE">
        <w:rPr>
          <w:rFonts w:asciiTheme="majorHAnsi" w:hAnsiTheme="majorHAnsi" w:cstheme="majorHAnsi"/>
        </w:rPr>
        <w:t>a</w:t>
      </w:r>
      <w:r w:rsidR="00852E79" w:rsidRPr="003310FE">
        <w:rPr>
          <w:rFonts w:asciiTheme="majorHAnsi" w:hAnsiTheme="majorHAnsi" w:cstheme="majorHAnsi"/>
        </w:rPr>
        <w:t xml:space="preserve"> 09-15, el IDEC recomienda </w:t>
      </w:r>
      <w:r w:rsidR="00B428F7" w:rsidRPr="00012CB6">
        <w:rPr>
          <w:rFonts w:asciiTheme="majorHAnsi" w:hAnsiTheme="majorHAnsi" w:cstheme="majorHAnsi"/>
          <w:b/>
          <w:bCs/>
        </w:rPr>
        <w:t xml:space="preserve">asegurar y formalizar los mecanismos de coordinación conjunta </w:t>
      </w:r>
      <w:proofErr w:type="gramStart"/>
      <w:r w:rsidR="00B428F7" w:rsidRPr="00012CB6">
        <w:rPr>
          <w:rFonts w:asciiTheme="majorHAnsi" w:hAnsiTheme="majorHAnsi" w:cstheme="majorHAnsi"/>
          <w:b/>
          <w:bCs/>
        </w:rPr>
        <w:t>inter-ministeriales</w:t>
      </w:r>
      <w:proofErr w:type="gramEnd"/>
      <w:r w:rsidR="00B428F7" w:rsidRPr="00012CB6">
        <w:rPr>
          <w:rFonts w:asciiTheme="majorHAnsi" w:hAnsiTheme="majorHAnsi" w:cstheme="majorHAnsi"/>
          <w:b/>
          <w:bCs/>
        </w:rPr>
        <w:t xml:space="preserve"> e institucionales</w:t>
      </w:r>
      <w:r w:rsidR="00B428F7" w:rsidRPr="003310FE">
        <w:rPr>
          <w:rFonts w:asciiTheme="majorHAnsi" w:hAnsiTheme="majorHAnsi" w:cstheme="majorHAnsi"/>
        </w:rPr>
        <w:t xml:space="preserve">, para alcanzar los objetivos relacionados a la formación y carrera docente de calidad, </w:t>
      </w:r>
      <w:r w:rsidR="00852E79" w:rsidRPr="00012CB6">
        <w:rPr>
          <w:rFonts w:asciiTheme="majorHAnsi" w:hAnsiTheme="majorHAnsi" w:cstheme="majorHAnsi"/>
          <w:b/>
          <w:bCs/>
        </w:rPr>
        <w:t xml:space="preserve">fortaleciendo los espacios de consenso y diálogo </w:t>
      </w:r>
      <w:r w:rsidR="00852E79" w:rsidRPr="003310FE">
        <w:rPr>
          <w:rFonts w:asciiTheme="majorHAnsi" w:hAnsiTheme="majorHAnsi" w:cstheme="majorHAnsi"/>
        </w:rPr>
        <w:t>que han caracterizado el sistema educativo por décadas y en cumplimiento con los compromisos nacionales e internacionales del país.</w:t>
      </w:r>
    </w:p>
    <w:p w14:paraId="00420B28" w14:textId="77777777" w:rsidR="00657DEB" w:rsidRPr="003310FE" w:rsidRDefault="00657DEB" w:rsidP="003310FE">
      <w:pPr>
        <w:jc w:val="both"/>
        <w:rPr>
          <w:rFonts w:asciiTheme="majorHAnsi" w:hAnsiTheme="majorHAnsi" w:cstheme="majorHAnsi"/>
        </w:rPr>
      </w:pPr>
    </w:p>
    <w:p w14:paraId="6CA09F9A" w14:textId="42DE1A4F" w:rsidR="00012CB6" w:rsidRPr="00012CB6" w:rsidRDefault="00852E79" w:rsidP="00012CB6">
      <w:pPr>
        <w:jc w:val="both"/>
        <w:rPr>
          <w:rFonts w:asciiTheme="majorHAnsi" w:hAnsiTheme="majorHAnsi" w:cstheme="majorHAnsi"/>
        </w:rPr>
      </w:pPr>
      <w:r w:rsidRPr="003310FE">
        <w:rPr>
          <w:rFonts w:asciiTheme="majorHAnsi" w:hAnsiTheme="majorHAnsi" w:cstheme="majorHAnsi"/>
        </w:rPr>
        <w:t>El IDEC hace un</w:t>
      </w:r>
      <w:r w:rsidR="00657DEB" w:rsidRPr="003310FE">
        <w:rPr>
          <w:rFonts w:asciiTheme="majorHAnsi" w:hAnsiTheme="majorHAnsi" w:cstheme="majorHAnsi"/>
        </w:rPr>
        <w:t xml:space="preserve"> llamado</w:t>
      </w:r>
      <w:r w:rsidRPr="003310FE">
        <w:rPr>
          <w:rFonts w:asciiTheme="majorHAnsi" w:hAnsiTheme="majorHAnsi" w:cstheme="majorHAnsi"/>
        </w:rPr>
        <w:t xml:space="preserve"> a </w:t>
      </w:r>
      <w:r w:rsidR="00657DEB" w:rsidRPr="003310FE">
        <w:rPr>
          <w:rFonts w:asciiTheme="majorHAnsi" w:hAnsiTheme="majorHAnsi" w:cstheme="majorHAnsi"/>
        </w:rPr>
        <w:t xml:space="preserve">abordar los efectos inmediatos de la crisis, </w:t>
      </w:r>
      <w:r w:rsidRPr="003310FE">
        <w:rPr>
          <w:rFonts w:asciiTheme="majorHAnsi" w:hAnsiTheme="majorHAnsi" w:cstheme="majorHAnsi"/>
        </w:rPr>
        <w:t xml:space="preserve">focalizando las acciones en el </w:t>
      </w:r>
      <w:r w:rsidRPr="003310FE">
        <w:rPr>
          <w:rFonts w:asciiTheme="majorHAnsi" w:hAnsiTheme="majorHAnsi" w:cstheme="majorHAnsi"/>
          <w:b/>
          <w:bCs/>
        </w:rPr>
        <w:t>desarrollo de la capacidad del Centro Educativo</w:t>
      </w:r>
      <w:r w:rsidRPr="003310FE">
        <w:rPr>
          <w:rFonts w:asciiTheme="majorHAnsi" w:hAnsiTheme="majorHAnsi" w:cstheme="majorHAnsi"/>
        </w:rPr>
        <w:t xml:space="preserve"> como unidad ejecutora central de los procesos, a través de un sistema de desempeño institucional</w:t>
      </w:r>
      <w:r w:rsidR="00012CB6">
        <w:rPr>
          <w:rFonts w:asciiTheme="majorHAnsi" w:hAnsiTheme="majorHAnsi" w:cstheme="majorHAnsi"/>
        </w:rPr>
        <w:t xml:space="preserve"> </w:t>
      </w:r>
      <w:r w:rsidR="00012CB6" w:rsidRPr="00012CB6">
        <w:rPr>
          <w:rFonts w:asciiTheme="majorHAnsi" w:hAnsiTheme="majorHAnsi" w:cstheme="majorHAnsi"/>
        </w:rPr>
        <w:t>que,</w:t>
      </w:r>
      <w:r w:rsidR="00012CB6" w:rsidRPr="00012CB6">
        <w:rPr>
          <w:rFonts w:asciiTheme="majorHAnsi" w:hAnsiTheme="majorHAnsi" w:cstheme="majorHAnsi"/>
        </w:rPr>
        <w:t xml:space="preserve"> de forma articulada, con roles para todos los niveles (Sede del MINERD, Regionales y </w:t>
      </w:r>
      <w:r w:rsidR="00012CB6" w:rsidRPr="00012CB6">
        <w:rPr>
          <w:rFonts w:asciiTheme="majorHAnsi" w:hAnsiTheme="majorHAnsi" w:cstheme="majorHAnsi"/>
        </w:rPr>
        <w:t>Distritales) guie</w:t>
      </w:r>
      <w:r w:rsidR="00012CB6" w:rsidRPr="00012CB6">
        <w:rPr>
          <w:rFonts w:asciiTheme="majorHAnsi" w:hAnsiTheme="majorHAnsi" w:cstheme="majorHAnsi"/>
        </w:rPr>
        <w:t xml:space="preserve"> los esfuerzos entorno a indicadores y metas claras para todos. </w:t>
      </w:r>
    </w:p>
    <w:p w14:paraId="5B330CE6" w14:textId="77777777" w:rsidR="00852E79" w:rsidRPr="003310FE" w:rsidRDefault="00852E79" w:rsidP="003310FE">
      <w:pPr>
        <w:jc w:val="both"/>
        <w:rPr>
          <w:rFonts w:asciiTheme="majorHAnsi" w:hAnsiTheme="majorHAnsi" w:cstheme="majorHAnsi"/>
        </w:rPr>
      </w:pPr>
    </w:p>
    <w:p w14:paraId="0B37AF4C" w14:textId="2F6B229C" w:rsidR="00657DEB" w:rsidRPr="003310FE" w:rsidRDefault="00B428F7" w:rsidP="003310FE">
      <w:pPr>
        <w:jc w:val="both"/>
        <w:rPr>
          <w:rFonts w:asciiTheme="majorHAnsi" w:hAnsiTheme="majorHAnsi" w:cstheme="majorHAnsi"/>
        </w:rPr>
      </w:pPr>
      <w:r w:rsidRPr="003310FE">
        <w:rPr>
          <w:rFonts w:asciiTheme="majorHAnsi" w:hAnsiTheme="majorHAnsi" w:cstheme="majorHAnsi"/>
        </w:rPr>
        <w:t xml:space="preserve">El informe fue presentado por el Dr. Radhamés Mejía, académico en representación de la sociedad civil. </w:t>
      </w:r>
      <w:r w:rsidR="00852E79" w:rsidRPr="003310FE">
        <w:rPr>
          <w:rFonts w:asciiTheme="majorHAnsi" w:hAnsiTheme="majorHAnsi" w:cstheme="majorHAnsi"/>
        </w:rPr>
        <w:t>Al finalizar la exposición del informe, la representante del Banco Mundial en el país, Ale</w:t>
      </w:r>
      <w:r w:rsidRPr="003310FE">
        <w:rPr>
          <w:rFonts w:asciiTheme="majorHAnsi" w:hAnsiTheme="majorHAnsi" w:cstheme="majorHAnsi"/>
        </w:rPr>
        <w:t>xandria Valerio, dijo unas palabras en nombre de los organismos internacionales. De acuerdo con la tradición de las presentaciones IDEC, el cierre del evento contó con unas palabras del ministro de educación, Dr. Roberto Fulcar.</w:t>
      </w:r>
    </w:p>
    <w:p w14:paraId="724CAA15" w14:textId="77777777" w:rsidR="00657DEB" w:rsidRPr="003310FE" w:rsidRDefault="00657DEB" w:rsidP="003310FE">
      <w:pPr>
        <w:jc w:val="both"/>
        <w:rPr>
          <w:rFonts w:asciiTheme="majorHAnsi" w:hAnsiTheme="majorHAnsi" w:cstheme="majorHAnsi"/>
        </w:rPr>
      </w:pPr>
    </w:p>
    <w:p w14:paraId="0225DFAB" w14:textId="1602D3D9" w:rsidR="00657DEB" w:rsidRDefault="00012CB6" w:rsidP="003310FE">
      <w:pPr>
        <w:jc w:val="both"/>
        <w:rPr>
          <w:rFonts w:asciiTheme="majorHAnsi" w:hAnsiTheme="majorHAnsi" w:cstheme="majorHAnsi"/>
        </w:rPr>
      </w:pPr>
      <w:r w:rsidRPr="00B428F7">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3514D2AC" wp14:editId="30E37BC6">
                <wp:simplePos x="0" y="0"/>
                <wp:positionH relativeFrom="margin">
                  <wp:posOffset>-6350</wp:posOffset>
                </wp:positionH>
                <wp:positionV relativeFrom="paragraph">
                  <wp:posOffset>681143</wp:posOffset>
                </wp:positionV>
                <wp:extent cx="6381750" cy="2327910"/>
                <wp:effectExtent l="0" t="0" r="1905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327910"/>
                        </a:xfrm>
                        <a:prstGeom prst="rect">
                          <a:avLst/>
                        </a:prstGeom>
                        <a:solidFill>
                          <a:srgbClr val="FFFFFF"/>
                        </a:solidFill>
                        <a:ln w="9525">
                          <a:solidFill>
                            <a:srgbClr val="000000"/>
                          </a:solidFill>
                          <a:miter lim="800000"/>
                          <a:headEnd/>
                          <a:tailEnd/>
                        </a:ln>
                      </wps:spPr>
                      <wps:txbx>
                        <w:txbxContent>
                          <w:p w14:paraId="4BC01F4D" w14:textId="77777777" w:rsidR="00B428F7" w:rsidRPr="009628A7" w:rsidRDefault="00B428F7" w:rsidP="00B428F7">
                            <w:pPr>
                              <w:rPr>
                                <w:b/>
                              </w:rPr>
                            </w:pPr>
                            <w:r w:rsidRPr="009628A7">
                              <w:rPr>
                                <w:b/>
                              </w:rPr>
                              <w:t>Sobre IDEC</w:t>
                            </w:r>
                          </w:p>
                          <w:p w14:paraId="247DB80C" w14:textId="1523A0F7" w:rsidR="00B428F7" w:rsidRDefault="00B428F7" w:rsidP="00B428F7">
                            <w:r>
                              <w:t xml:space="preserve">La Iniciativa Dominicana por una Educación de Calidad se puso en marcha oficialmente el 30 de octubre de 2012 como un espacio plural y consultivo, en el que participan gobierno, sociedad civil, sector privado, organismos internacionales y expertos en el área educativa. </w:t>
                            </w:r>
                            <w:r w:rsidRPr="00B428F7">
                              <w:t>IDEC es un espacio multisectorial, plural e independiente que de manera consistente y continua ha dado seguimiento y monitoreo a la política educativa pre-universitaria</w:t>
                            </w:r>
                            <w:r>
                              <w:t>. Emite informes semestrales que han. Realizado seguimiento a los Planes estratégicos del MINERD, en los que se analizan los avances logrados y las dificultades encontradas en el camino.</w:t>
                            </w:r>
                          </w:p>
                          <w:p w14:paraId="76AF705D" w14:textId="77777777" w:rsidR="00B428F7" w:rsidRPr="00474E02" w:rsidRDefault="00B428F7" w:rsidP="00B428F7">
                            <w:pPr>
                              <w:rPr>
                                <w:lang w:val="es-DO"/>
                              </w:rPr>
                            </w:pPr>
                          </w:p>
                          <w:p w14:paraId="35C730AE" w14:textId="10CAC70A" w:rsidR="00B428F7" w:rsidRPr="00B428F7" w:rsidRDefault="00B428F7" w:rsidP="00B428F7">
                            <w:r w:rsidRPr="00B428F7">
                              <w:t>IDEC, además, mantiene actualizado un observatorio con noticias diarias, estudios e indicadores, alineado con todos los planes y compromisos nacionales e internacionales.</w:t>
                            </w:r>
                          </w:p>
                          <w:p w14:paraId="35A34FDD" w14:textId="77777777" w:rsidR="00B428F7" w:rsidRPr="00B428F7" w:rsidRDefault="00B428F7" w:rsidP="00B428F7">
                            <w:pPr>
                              <w:rPr>
                                <w:lang w:val="en-US"/>
                              </w:rPr>
                            </w:pPr>
                            <w:r w:rsidRPr="00B428F7">
                              <w:rPr>
                                <w:b/>
                                <w:bCs/>
                                <w:lang w:val="en-US"/>
                              </w:rPr>
                              <w:t>www.idec.edu.do</w:t>
                            </w:r>
                          </w:p>
                          <w:p w14:paraId="2F88AD61" w14:textId="4549A837" w:rsidR="00B428F7" w:rsidRPr="009628A7" w:rsidRDefault="00B428F7" w:rsidP="00B428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4D2AC" id="_x0000_t202" coordsize="21600,21600" o:spt="202" path="m,l,21600r21600,l21600,xe">
                <v:stroke joinstyle="miter"/>
                <v:path gradientshapeok="t" o:connecttype="rect"/>
              </v:shapetype>
              <v:shape id="Text Box 2" o:spid="_x0000_s1026" type="#_x0000_t202" style="position:absolute;left:0;text-align:left;margin-left:-.5pt;margin-top:53.65pt;width:502.5pt;height:18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3A3JQIAAEcEAAAOAAAAZHJzL2Uyb0RvYy54bWysU9uO2yAQfa/Uf0C8N469ySax4qy22aaq&#13;&#10;tL1Iu/0AjHGMCgwFEnv79R1wNo227UtVHhDDDIeZc2bWN4NW5Cicl2Aqmk+mlAjDoZFmX9Gvj7s3&#13;&#10;S0p8YKZhCoyo6JPw9Gbz+tW6t6UooAPVCEcQxPiytxXtQrBllnneCc38BKww6GzBaRbQdPuscaxH&#13;&#10;dK2yYjq9znpwjXXAhfd4ezc66Sbht63g4XPbehGIqijmFtLu0l7HPdusWbl3zHaSn9Jg/5CFZtLg&#13;&#10;p2eoOxYYOTj5G5SW3IGHNkw46AzaVnKRasBq8umLah46ZkWqBcnx9kyT/3+w/NPxiyOyqWiRLygx&#13;&#10;TKNIj2II5C0MpIj89NaXGPZgMTAMeI06p1q9vQf+zRMD246Zvbh1DvpOsAbzy+PL7OLpiOMjSN1/&#13;&#10;hAa/YYcACWhonY7kIR0E0VGnp7M2MRWOl9dXy3wxRxdHX3FVLFZ5Ui9j5fNz63x4L0CTeKioQ/ET&#13;&#10;PDve+xDTYeVzSPzNg5LNTiqVDLevt8qRI8NG2aWVKngRpgzpK7qaF/ORgb9CTNP6E4SWATteSV3R&#13;&#10;5TmIlZG3d6ZJ/RiYVOMZU1bmRGTkbmQxDPVwEqaG5gkpdTB2Nk4iHjpwPyjpsasr6r8fmBOUqA8G&#13;&#10;ZVnls1kcg2TM5osCDXfpqS89zHCEqmigZDxuQxqdSJiBW5SvlYnYqPOYySlX7NbE92my4jhc2inq&#13;&#10;1/xvfgIAAP//AwBQSwMEFAAGAAgAAAAhAMKnvpblAAAAEAEAAA8AAABkcnMvZG93bnJldi54bWxM&#13;&#10;j0FPwzAMhe9I/IfISFzQloxW69Y1nRAIxG6wTXDN2qytSJySZF3593gnuFjys/38vmI9WsMG7UPn&#13;&#10;UMJsKoBprFzdYSNhv3ueLICFqLBWxqGW8KMDrMvrq0LltTvjux62sWFkgiFXEtoY+5zzULXaqjB1&#13;&#10;vUaaHZ23KlLrG157dSZza/i9EHNuVYf0oVW9fmx19bU9WQmL9HX4DJvk7aOaH80y3mXDy7eX8vZm&#13;&#10;fFpReVgBi3qMfxdwYaD8UFKwgzthHZiRMJkRTyRdZAmwy4IQKUkHCWmWLIGXBf8PUv4CAAD//wMA&#13;&#10;UEsBAi0AFAAGAAgAAAAhALaDOJL+AAAA4QEAABMAAAAAAAAAAAAAAAAAAAAAAFtDb250ZW50X1R5&#13;&#10;cGVzXS54bWxQSwECLQAUAAYACAAAACEAOP0h/9YAAACUAQAACwAAAAAAAAAAAAAAAAAvAQAAX3Jl&#13;&#10;bHMvLnJlbHNQSwECLQAUAAYACAAAACEAdMNwNyUCAABHBAAADgAAAAAAAAAAAAAAAAAuAgAAZHJz&#13;&#10;L2Uyb0RvYy54bWxQSwECLQAUAAYACAAAACEAwqe+luUAAAAQAQAADwAAAAAAAAAAAAAAAAB/BAAA&#13;&#10;ZHJzL2Rvd25yZXYueG1sUEsFBgAAAAAEAAQA8wAAAJEFAAAAAA==&#13;&#10;">
                <v:textbox>
                  <w:txbxContent>
                    <w:p w14:paraId="4BC01F4D" w14:textId="77777777" w:rsidR="00B428F7" w:rsidRPr="009628A7" w:rsidRDefault="00B428F7" w:rsidP="00B428F7">
                      <w:pPr>
                        <w:rPr>
                          <w:b/>
                        </w:rPr>
                      </w:pPr>
                      <w:r w:rsidRPr="009628A7">
                        <w:rPr>
                          <w:b/>
                        </w:rPr>
                        <w:t>Sobre IDEC</w:t>
                      </w:r>
                    </w:p>
                    <w:p w14:paraId="247DB80C" w14:textId="1523A0F7" w:rsidR="00B428F7" w:rsidRDefault="00B428F7" w:rsidP="00B428F7">
                      <w:r>
                        <w:t xml:space="preserve">La Iniciativa Dominicana por una Educación de Calidad se puso en marcha oficialmente el 30 de octubre de 2012 como un espacio plural y consultivo, en el que participan gobierno, sociedad civil, sector privado, organismos internacionales y expertos en el área educativa. </w:t>
                      </w:r>
                      <w:r w:rsidRPr="00B428F7">
                        <w:t>IDEC es un espacio multisectorial, plural e independiente que de manera consistente y continua ha dado seguimiento y monitoreo a la política educativa pre-universitaria</w:t>
                      </w:r>
                      <w:r>
                        <w:t>. Emite informes semestrales que han. Realizado seguimiento a los Planes estratégicos del MINERD, en los que se analizan los avances logrados y las dificultades encontradas en el camino.</w:t>
                      </w:r>
                    </w:p>
                    <w:p w14:paraId="76AF705D" w14:textId="77777777" w:rsidR="00B428F7" w:rsidRPr="00474E02" w:rsidRDefault="00B428F7" w:rsidP="00B428F7">
                      <w:pPr>
                        <w:rPr>
                          <w:lang w:val="es-DO"/>
                        </w:rPr>
                      </w:pPr>
                    </w:p>
                    <w:p w14:paraId="35C730AE" w14:textId="10CAC70A" w:rsidR="00B428F7" w:rsidRPr="00B428F7" w:rsidRDefault="00B428F7" w:rsidP="00B428F7">
                      <w:r w:rsidRPr="00B428F7">
                        <w:t>IDEC, además, mantiene actualizado un observatorio con noticias diarias, estudios e indicadores, alineado con todos los planes y compromisos nacionales e internacionales.</w:t>
                      </w:r>
                    </w:p>
                    <w:p w14:paraId="35A34FDD" w14:textId="77777777" w:rsidR="00B428F7" w:rsidRPr="00B428F7" w:rsidRDefault="00B428F7" w:rsidP="00B428F7">
                      <w:pPr>
                        <w:rPr>
                          <w:lang w:val="en-US"/>
                        </w:rPr>
                      </w:pPr>
                      <w:r w:rsidRPr="00B428F7">
                        <w:rPr>
                          <w:b/>
                          <w:bCs/>
                          <w:lang w:val="en-US"/>
                        </w:rPr>
                        <w:t>www.idec.edu.do</w:t>
                      </w:r>
                    </w:p>
                    <w:p w14:paraId="2F88AD61" w14:textId="4549A837" w:rsidR="00B428F7" w:rsidRPr="009628A7" w:rsidRDefault="00B428F7" w:rsidP="00B428F7"/>
                  </w:txbxContent>
                </v:textbox>
                <w10:wrap type="square" anchorx="margin"/>
              </v:shape>
            </w:pict>
          </mc:Fallback>
        </mc:AlternateContent>
      </w:r>
      <w:r w:rsidR="00657DEB" w:rsidRPr="003310FE">
        <w:rPr>
          <w:rFonts w:asciiTheme="majorHAnsi" w:hAnsiTheme="majorHAnsi" w:cstheme="majorHAnsi"/>
        </w:rPr>
        <w:t xml:space="preserve">El informe </w:t>
      </w:r>
      <w:hyperlink r:id="rId7" w:history="1">
        <w:r w:rsidR="00657DEB" w:rsidRPr="003310FE">
          <w:rPr>
            <w:rStyle w:val="Hyperlink"/>
            <w:rFonts w:asciiTheme="majorHAnsi" w:hAnsiTheme="majorHAnsi" w:cstheme="majorHAnsi"/>
          </w:rPr>
          <w:t>puede ser descargado</w:t>
        </w:r>
      </w:hyperlink>
      <w:r w:rsidR="00657DEB" w:rsidRPr="003310FE">
        <w:rPr>
          <w:rFonts w:asciiTheme="majorHAnsi" w:hAnsiTheme="majorHAnsi" w:cstheme="majorHAnsi"/>
        </w:rPr>
        <w:t xml:space="preserve"> a través de la página </w:t>
      </w:r>
      <w:r w:rsidR="00657DEB" w:rsidRPr="003310FE">
        <w:rPr>
          <w:rFonts w:asciiTheme="majorHAnsi" w:eastAsia="Times New Roman" w:hAnsiTheme="majorHAnsi" w:cstheme="majorHAnsi"/>
        </w:rPr>
        <w:t>de IDEC. El evento</w:t>
      </w:r>
      <w:r w:rsidR="00657DEB" w:rsidRPr="003310FE">
        <w:rPr>
          <w:rFonts w:asciiTheme="majorHAnsi" w:hAnsiTheme="majorHAnsi" w:cstheme="majorHAnsi"/>
        </w:rPr>
        <w:t xml:space="preserve"> fue transmitido en vivo por el canal de YouTube IDECRD en donde está disponible, al igual que en la página de IDEC </w:t>
      </w:r>
      <w:hyperlink r:id="rId8">
        <w:r w:rsidR="00657DEB" w:rsidRPr="003310FE">
          <w:rPr>
            <w:rFonts w:asciiTheme="majorHAnsi" w:hAnsiTheme="majorHAnsi" w:cstheme="majorHAnsi"/>
            <w:color w:val="0563C1"/>
            <w:u w:val="single"/>
          </w:rPr>
          <w:t>www.idec.edu.do/Galeria</w:t>
        </w:r>
      </w:hyperlink>
      <w:r w:rsidR="00B428F7" w:rsidRPr="003310FE">
        <w:rPr>
          <w:rFonts w:asciiTheme="majorHAnsi" w:hAnsiTheme="majorHAnsi" w:cstheme="majorHAnsi"/>
          <w:color w:val="0563C1"/>
          <w:u w:val="single"/>
        </w:rPr>
        <w:t>.</w:t>
      </w:r>
      <w:r w:rsidR="00657DEB" w:rsidRPr="00B428F7">
        <w:rPr>
          <w:rFonts w:asciiTheme="majorHAnsi" w:hAnsiTheme="majorHAnsi" w:cstheme="majorHAnsi"/>
        </w:rPr>
        <w:t xml:space="preserve"> </w:t>
      </w:r>
    </w:p>
    <w:p w14:paraId="3952DF85" w14:textId="1C5578AA" w:rsidR="00FB4D25" w:rsidRDefault="00FB4D25" w:rsidP="003310FE">
      <w:pPr>
        <w:jc w:val="both"/>
        <w:rPr>
          <w:rFonts w:asciiTheme="majorHAnsi" w:hAnsiTheme="majorHAnsi" w:cstheme="majorHAnsi"/>
        </w:rPr>
      </w:pPr>
    </w:p>
    <w:p w14:paraId="2B3A9000" w14:textId="321DBECB" w:rsidR="00FB4D25" w:rsidRPr="00012CB6" w:rsidRDefault="00FB4D25" w:rsidP="00012CB6">
      <w:pPr>
        <w:jc w:val="right"/>
        <w:rPr>
          <w:rFonts w:asciiTheme="majorHAnsi" w:hAnsiTheme="majorHAnsi" w:cstheme="majorHAnsi"/>
          <w:sz w:val="20"/>
          <w:szCs w:val="20"/>
        </w:rPr>
      </w:pPr>
      <w:r w:rsidRPr="00012CB6">
        <w:rPr>
          <w:rFonts w:asciiTheme="majorHAnsi" w:hAnsiTheme="majorHAnsi" w:cstheme="majorHAnsi"/>
          <w:sz w:val="20"/>
          <w:szCs w:val="20"/>
        </w:rPr>
        <w:t xml:space="preserve">Contacto: </w:t>
      </w:r>
      <w:hyperlink r:id="rId9" w:history="1">
        <w:r w:rsidRPr="00012CB6">
          <w:rPr>
            <w:rStyle w:val="Hyperlink"/>
            <w:rFonts w:asciiTheme="majorHAnsi" w:hAnsiTheme="majorHAnsi" w:cstheme="majorHAnsi"/>
            <w:sz w:val="20"/>
            <w:szCs w:val="20"/>
          </w:rPr>
          <w:t>idec.coordinacion@gmail.com</w:t>
        </w:r>
      </w:hyperlink>
    </w:p>
    <w:p w14:paraId="10DB6546" w14:textId="60A9F395" w:rsidR="00FB4D25" w:rsidRPr="00012CB6" w:rsidRDefault="00FB4D25" w:rsidP="00012CB6">
      <w:pPr>
        <w:jc w:val="right"/>
        <w:rPr>
          <w:rFonts w:asciiTheme="majorHAnsi" w:hAnsiTheme="majorHAnsi" w:cstheme="majorHAnsi"/>
          <w:sz w:val="20"/>
          <w:szCs w:val="20"/>
        </w:rPr>
      </w:pPr>
      <w:r w:rsidRPr="00012CB6">
        <w:rPr>
          <w:rFonts w:asciiTheme="majorHAnsi" w:hAnsiTheme="majorHAnsi" w:cstheme="majorHAnsi"/>
          <w:sz w:val="20"/>
          <w:szCs w:val="20"/>
        </w:rPr>
        <w:t xml:space="preserve">Laura Abreu – </w:t>
      </w:r>
      <w:proofErr w:type="spellStart"/>
      <w:r w:rsidRPr="00012CB6">
        <w:rPr>
          <w:rFonts w:asciiTheme="majorHAnsi" w:hAnsiTheme="majorHAnsi" w:cstheme="majorHAnsi"/>
          <w:sz w:val="20"/>
          <w:szCs w:val="20"/>
        </w:rPr>
        <w:t>Corrdinadora</w:t>
      </w:r>
      <w:proofErr w:type="spellEnd"/>
    </w:p>
    <w:p w14:paraId="73A6B4C2" w14:textId="7DB5629E" w:rsidR="00FB4D25" w:rsidRPr="00012CB6" w:rsidRDefault="00FB4D25" w:rsidP="00012CB6">
      <w:pPr>
        <w:jc w:val="right"/>
        <w:rPr>
          <w:rFonts w:asciiTheme="majorHAnsi" w:hAnsiTheme="majorHAnsi" w:cstheme="majorHAnsi"/>
          <w:sz w:val="20"/>
          <w:szCs w:val="20"/>
        </w:rPr>
      </w:pPr>
      <w:bookmarkStart w:id="0" w:name="_GoBack"/>
      <w:bookmarkEnd w:id="0"/>
      <w:r w:rsidRPr="00012CB6">
        <w:rPr>
          <w:rFonts w:asciiTheme="majorHAnsi" w:hAnsiTheme="majorHAnsi" w:cstheme="majorHAnsi"/>
          <w:sz w:val="20"/>
          <w:szCs w:val="20"/>
        </w:rPr>
        <w:t>Cel.829-642-6222</w:t>
      </w:r>
    </w:p>
    <w:sectPr w:rsidR="00FB4D25" w:rsidRPr="00012CB6" w:rsidSect="00012CB6">
      <w:footerReference w:type="even" r:id="rId10"/>
      <w:footerReference w:type="default" r:id="rId11"/>
      <w:headerReference w:type="first" r:id="rId12"/>
      <w:pgSz w:w="12240" w:h="15840"/>
      <w:pgMar w:top="1134" w:right="1077" w:bottom="1134" w:left="1077"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E17A5" w14:textId="77777777" w:rsidR="005A1BE3" w:rsidRDefault="005A1BE3" w:rsidP="003310FE">
      <w:r>
        <w:separator/>
      </w:r>
    </w:p>
  </w:endnote>
  <w:endnote w:type="continuationSeparator" w:id="0">
    <w:p w14:paraId="417886BD" w14:textId="77777777" w:rsidR="005A1BE3" w:rsidRDefault="005A1BE3" w:rsidP="0033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33308400"/>
      <w:docPartObj>
        <w:docPartGallery w:val="Page Numbers (Bottom of Page)"/>
        <w:docPartUnique/>
      </w:docPartObj>
    </w:sdtPr>
    <w:sdtEndPr>
      <w:rPr>
        <w:rStyle w:val="PageNumber"/>
      </w:rPr>
    </w:sdtEndPr>
    <w:sdtContent>
      <w:p w14:paraId="519EE066" w14:textId="23B68FAD" w:rsidR="003310FE" w:rsidRDefault="003310FE" w:rsidP="00887C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AA4ED3" w14:textId="77777777" w:rsidR="003310FE" w:rsidRDefault="003310FE" w:rsidP="003310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57356127"/>
      <w:docPartObj>
        <w:docPartGallery w:val="Page Numbers (Bottom of Page)"/>
        <w:docPartUnique/>
      </w:docPartObj>
    </w:sdtPr>
    <w:sdtEndPr>
      <w:rPr>
        <w:rStyle w:val="PageNumber"/>
      </w:rPr>
    </w:sdtEndPr>
    <w:sdtContent>
      <w:p w14:paraId="0E52705E" w14:textId="5E3710FA" w:rsidR="003310FE" w:rsidRDefault="003310FE" w:rsidP="00887C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F0F777" w14:textId="77777777" w:rsidR="003310FE" w:rsidRDefault="003310FE" w:rsidP="003310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5DD66" w14:textId="77777777" w:rsidR="005A1BE3" w:rsidRDefault="005A1BE3" w:rsidP="003310FE">
      <w:r>
        <w:separator/>
      </w:r>
    </w:p>
  </w:footnote>
  <w:footnote w:type="continuationSeparator" w:id="0">
    <w:p w14:paraId="75DFCA97" w14:textId="77777777" w:rsidR="005A1BE3" w:rsidRDefault="005A1BE3" w:rsidP="0033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9E7B4" w14:textId="427778BB" w:rsidR="00012CB6" w:rsidRDefault="00012CB6" w:rsidP="00012CB6">
    <w:pPr>
      <w:pStyle w:val="Header"/>
      <w:jc w:val="center"/>
    </w:pPr>
    <w:r w:rsidRPr="003310FE">
      <w:rPr>
        <w:noProof/>
        <w:color w:val="000000"/>
        <w:sz w:val="22"/>
        <w:szCs w:val="22"/>
      </w:rPr>
      <w:drawing>
        <wp:inline distT="0" distB="0" distL="0" distR="0" wp14:anchorId="7C5F7346" wp14:editId="74D6405C">
          <wp:extent cx="1692343" cy="694479"/>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6269" cy="7453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B72EE"/>
    <w:multiLevelType w:val="hybridMultilevel"/>
    <w:tmpl w:val="C0F4C88A"/>
    <w:lvl w:ilvl="0" w:tplc="E4F08A36">
      <w:start w:val="1"/>
      <w:numFmt w:val="bullet"/>
      <w:lvlText w:val="•"/>
      <w:lvlJc w:val="left"/>
      <w:pPr>
        <w:tabs>
          <w:tab w:val="num" w:pos="720"/>
        </w:tabs>
        <w:ind w:left="720" w:hanging="360"/>
      </w:pPr>
      <w:rPr>
        <w:rFonts w:ascii="Arial" w:hAnsi="Arial" w:hint="default"/>
      </w:rPr>
    </w:lvl>
    <w:lvl w:ilvl="1" w:tplc="A5F2AC2C" w:tentative="1">
      <w:start w:val="1"/>
      <w:numFmt w:val="bullet"/>
      <w:lvlText w:val="•"/>
      <w:lvlJc w:val="left"/>
      <w:pPr>
        <w:tabs>
          <w:tab w:val="num" w:pos="1440"/>
        </w:tabs>
        <w:ind w:left="1440" w:hanging="360"/>
      </w:pPr>
      <w:rPr>
        <w:rFonts w:ascii="Arial" w:hAnsi="Arial" w:hint="default"/>
      </w:rPr>
    </w:lvl>
    <w:lvl w:ilvl="2" w:tplc="84AAE688" w:tentative="1">
      <w:start w:val="1"/>
      <w:numFmt w:val="bullet"/>
      <w:lvlText w:val="•"/>
      <w:lvlJc w:val="left"/>
      <w:pPr>
        <w:tabs>
          <w:tab w:val="num" w:pos="2160"/>
        </w:tabs>
        <w:ind w:left="2160" w:hanging="360"/>
      </w:pPr>
      <w:rPr>
        <w:rFonts w:ascii="Arial" w:hAnsi="Arial" w:hint="default"/>
      </w:rPr>
    </w:lvl>
    <w:lvl w:ilvl="3" w:tplc="79E6FE5A" w:tentative="1">
      <w:start w:val="1"/>
      <w:numFmt w:val="bullet"/>
      <w:lvlText w:val="•"/>
      <w:lvlJc w:val="left"/>
      <w:pPr>
        <w:tabs>
          <w:tab w:val="num" w:pos="2880"/>
        </w:tabs>
        <w:ind w:left="2880" w:hanging="360"/>
      </w:pPr>
      <w:rPr>
        <w:rFonts w:ascii="Arial" w:hAnsi="Arial" w:hint="default"/>
      </w:rPr>
    </w:lvl>
    <w:lvl w:ilvl="4" w:tplc="7376D9B8" w:tentative="1">
      <w:start w:val="1"/>
      <w:numFmt w:val="bullet"/>
      <w:lvlText w:val="•"/>
      <w:lvlJc w:val="left"/>
      <w:pPr>
        <w:tabs>
          <w:tab w:val="num" w:pos="3600"/>
        </w:tabs>
        <w:ind w:left="3600" w:hanging="360"/>
      </w:pPr>
      <w:rPr>
        <w:rFonts w:ascii="Arial" w:hAnsi="Arial" w:hint="default"/>
      </w:rPr>
    </w:lvl>
    <w:lvl w:ilvl="5" w:tplc="F2CC3A6A" w:tentative="1">
      <w:start w:val="1"/>
      <w:numFmt w:val="bullet"/>
      <w:lvlText w:val="•"/>
      <w:lvlJc w:val="left"/>
      <w:pPr>
        <w:tabs>
          <w:tab w:val="num" w:pos="4320"/>
        </w:tabs>
        <w:ind w:left="4320" w:hanging="360"/>
      </w:pPr>
      <w:rPr>
        <w:rFonts w:ascii="Arial" w:hAnsi="Arial" w:hint="default"/>
      </w:rPr>
    </w:lvl>
    <w:lvl w:ilvl="6" w:tplc="5BA8990E" w:tentative="1">
      <w:start w:val="1"/>
      <w:numFmt w:val="bullet"/>
      <w:lvlText w:val="•"/>
      <w:lvlJc w:val="left"/>
      <w:pPr>
        <w:tabs>
          <w:tab w:val="num" w:pos="5040"/>
        </w:tabs>
        <w:ind w:left="5040" w:hanging="360"/>
      </w:pPr>
      <w:rPr>
        <w:rFonts w:ascii="Arial" w:hAnsi="Arial" w:hint="default"/>
      </w:rPr>
    </w:lvl>
    <w:lvl w:ilvl="7" w:tplc="528E6242" w:tentative="1">
      <w:start w:val="1"/>
      <w:numFmt w:val="bullet"/>
      <w:lvlText w:val="•"/>
      <w:lvlJc w:val="left"/>
      <w:pPr>
        <w:tabs>
          <w:tab w:val="num" w:pos="5760"/>
        </w:tabs>
        <w:ind w:left="5760" w:hanging="360"/>
      </w:pPr>
      <w:rPr>
        <w:rFonts w:ascii="Arial" w:hAnsi="Arial" w:hint="default"/>
      </w:rPr>
    </w:lvl>
    <w:lvl w:ilvl="8" w:tplc="0AB63F2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EB"/>
    <w:rsid w:val="00007CC5"/>
    <w:rsid w:val="00012CB6"/>
    <w:rsid w:val="001E5B85"/>
    <w:rsid w:val="003310FE"/>
    <w:rsid w:val="00474E02"/>
    <w:rsid w:val="004777E1"/>
    <w:rsid w:val="005A1BE3"/>
    <w:rsid w:val="00600DD3"/>
    <w:rsid w:val="00657DEB"/>
    <w:rsid w:val="00791BCF"/>
    <w:rsid w:val="00852E79"/>
    <w:rsid w:val="00912B55"/>
    <w:rsid w:val="00990B8F"/>
    <w:rsid w:val="00AC1680"/>
    <w:rsid w:val="00B428F7"/>
    <w:rsid w:val="00B767A3"/>
    <w:rsid w:val="00EC40B8"/>
    <w:rsid w:val="00FB4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FBEC9"/>
  <w15:chartTrackingRefBased/>
  <w15:docId w15:val="{B488B63B-178B-8748-9459-E7E29A95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EB"/>
    <w:rPr>
      <w:rFonts w:ascii="Calibri" w:eastAsia="Calibri" w:hAnsi="Calibri" w:cs="Calibri"/>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DEB"/>
    <w:rPr>
      <w:color w:val="0000FF"/>
      <w:u w:val="single"/>
    </w:rPr>
  </w:style>
  <w:style w:type="paragraph" w:styleId="NormalWeb">
    <w:name w:val="Normal (Web)"/>
    <w:basedOn w:val="Normal"/>
    <w:uiPriority w:val="99"/>
    <w:semiHidden/>
    <w:unhideWhenUsed/>
    <w:rsid w:val="00007CC5"/>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852E79"/>
    <w:pPr>
      <w:ind w:left="720"/>
      <w:contextualSpacing/>
    </w:pPr>
    <w:rPr>
      <w:rFonts w:ascii="Times New Roman" w:eastAsia="Times New Roman" w:hAnsi="Times New Roman" w:cs="Times New Roman"/>
      <w:lang w:val="en-US"/>
    </w:rPr>
  </w:style>
  <w:style w:type="paragraph" w:styleId="Footer">
    <w:name w:val="footer"/>
    <w:basedOn w:val="Normal"/>
    <w:link w:val="FooterChar"/>
    <w:uiPriority w:val="99"/>
    <w:unhideWhenUsed/>
    <w:rsid w:val="003310FE"/>
    <w:pPr>
      <w:tabs>
        <w:tab w:val="center" w:pos="4680"/>
        <w:tab w:val="right" w:pos="9360"/>
      </w:tabs>
    </w:pPr>
  </w:style>
  <w:style w:type="character" w:customStyle="1" w:styleId="FooterChar">
    <w:name w:val="Footer Char"/>
    <w:basedOn w:val="DefaultParagraphFont"/>
    <w:link w:val="Footer"/>
    <w:uiPriority w:val="99"/>
    <w:rsid w:val="003310FE"/>
    <w:rPr>
      <w:rFonts w:ascii="Calibri" w:eastAsia="Calibri" w:hAnsi="Calibri" w:cs="Calibri"/>
      <w:lang w:val="es-ES"/>
    </w:rPr>
  </w:style>
  <w:style w:type="character" w:styleId="PageNumber">
    <w:name w:val="page number"/>
    <w:basedOn w:val="DefaultParagraphFont"/>
    <w:uiPriority w:val="99"/>
    <w:semiHidden/>
    <w:unhideWhenUsed/>
    <w:rsid w:val="003310FE"/>
  </w:style>
  <w:style w:type="character" w:styleId="UnresolvedMention">
    <w:name w:val="Unresolved Mention"/>
    <w:basedOn w:val="DefaultParagraphFont"/>
    <w:uiPriority w:val="99"/>
    <w:semiHidden/>
    <w:unhideWhenUsed/>
    <w:rsid w:val="00FB4D25"/>
    <w:rPr>
      <w:color w:val="605E5C"/>
      <w:shd w:val="clear" w:color="auto" w:fill="E1DFDD"/>
    </w:rPr>
  </w:style>
  <w:style w:type="paragraph" w:styleId="Header">
    <w:name w:val="header"/>
    <w:basedOn w:val="Normal"/>
    <w:link w:val="HeaderChar"/>
    <w:uiPriority w:val="99"/>
    <w:unhideWhenUsed/>
    <w:rsid w:val="00012CB6"/>
    <w:pPr>
      <w:tabs>
        <w:tab w:val="center" w:pos="4680"/>
        <w:tab w:val="right" w:pos="9360"/>
      </w:tabs>
    </w:pPr>
  </w:style>
  <w:style w:type="character" w:customStyle="1" w:styleId="HeaderChar">
    <w:name w:val="Header Char"/>
    <w:basedOn w:val="DefaultParagraphFont"/>
    <w:link w:val="Header"/>
    <w:uiPriority w:val="99"/>
    <w:rsid w:val="00012CB6"/>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95411">
      <w:bodyDiv w:val="1"/>
      <w:marLeft w:val="0"/>
      <w:marRight w:val="0"/>
      <w:marTop w:val="0"/>
      <w:marBottom w:val="0"/>
      <w:divBdr>
        <w:top w:val="none" w:sz="0" w:space="0" w:color="auto"/>
        <w:left w:val="none" w:sz="0" w:space="0" w:color="auto"/>
        <w:bottom w:val="none" w:sz="0" w:space="0" w:color="auto"/>
        <w:right w:val="none" w:sz="0" w:space="0" w:color="auto"/>
      </w:divBdr>
    </w:div>
    <w:div w:id="975598620">
      <w:bodyDiv w:val="1"/>
      <w:marLeft w:val="0"/>
      <w:marRight w:val="0"/>
      <w:marTop w:val="0"/>
      <w:marBottom w:val="0"/>
      <w:divBdr>
        <w:top w:val="none" w:sz="0" w:space="0" w:color="auto"/>
        <w:left w:val="none" w:sz="0" w:space="0" w:color="auto"/>
        <w:bottom w:val="none" w:sz="0" w:space="0" w:color="auto"/>
        <w:right w:val="none" w:sz="0" w:space="0" w:color="auto"/>
      </w:divBdr>
    </w:div>
    <w:div w:id="1061292709">
      <w:bodyDiv w:val="1"/>
      <w:marLeft w:val="0"/>
      <w:marRight w:val="0"/>
      <w:marTop w:val="0"/>
      <w:marBottom w:val="0"/>
      <w:divBdr>
        <w:top w:val="none" w:sz="0" w:space="0" w:color="auto"/>
        <w:left w:val="none" w:sz="0" w:space="0" w:color="auto"/>
        <w:bottom w:val="none" w:sz="0" w:space="0" w:color="auto"/>
        <w:right w:val="none" w:sz="0" w:space="0" w:color="auto"/>
      </w:divBdr>
    </w:div>
    <w:div w:id="1136223297">
      <w:bodyDiv w:val="1"/>
      <w:marLeft w:val="0"/>
      <w:marRight w:val="0"/>
      <w:marTop w:val="0"/>
      <w:marBottom w:val="0"/>
      <w:divBdr>
        <w:top w:val="none" w:sz="0" w:space="0" w:color="auto"/>
        <w:left w:val="none" w:sz="0" w:space="0" w:color="auto"/>
        <w:bottom w:val="none" w:sz="0" w:space="0" w:color="auto"/>
        <w:right w:val="none" w:sz="0" w:space="0" w:color="auto"/>
      </w:divBdr>
    </w:div>
    <w:div w:id="1259603975">
      <w:bodyDiv w:val="1"/>
      <w:marLeft w:val="0"/>
      <w:marRight w:val="0"/>
      <w:marTop w:val="0"/>
      <w:marBottom w:val="0"/>
      <w:divBdr>
        <w:top w:val="none" w:sz="0" w:space="0" w:color="auto"/>
        <w:left w:val="none" w:sz="0" w:space="0" w:color="auto"/>
        <w:bottom w:val="none" w:sz="0" w:space="0" w:color="auto"/>
        <w:right w:val="none" w:sz="0" w:space="0" w:color="auto"/>
      </w:divBdr>
      <w:divsChild>
        <w:div w:id="2045398774">
          <w:marLeft w:val="446"/>
          <w:marRight w:val="0"/>
          <w:marTop w:val="0"/>
          <w:marBottom w:val="0"/>
          <w:divBdr>
            <w:top w:val="none" w:sz="0" w:space="0" w:color="auto"/>
            <w:left w:val="none" w:sz="0" w:space="0" w:color="auto"/>
            <w:bottom w:val="none" w:sz="0" w:space="0" w:color="auto"/>
            <w:right w:val="none" w:sz="0" w:space="0" w:color="auto"/>
          </w:divBdr>
        </w:div>
      </w:divsChild>
    </w:div>
    <w:div w:id="1662615083">
      <w:bodyDiv w:val="1"/>
      <w:marLeft w:val="0"/>
      <w:marRight w:val="0"/>
      <w:marTop w:val="0"/>
      <w:marBottom w:val="0"/>
      <w:divBdr>
        <w:top w:val="none" w:sz="0" w:space="0" w:color="auto"/>
        <w:left w:val="none" w:sz="0" w:space="0" w:color="auto"/>
        <w:bottom w:val="none" w:sz="0" w:space="0" w:color="auto"/>
        <w:right w:val="none" w:sz="0" w:space="0" w:color="auto"/>
      </w:divBdr>
    </w:div>
    <w:div w:id="189677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c.edu.do/Gal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dec.edu.do/Home/Publicacion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dec.coordinacion@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854</Words>
  <Characters>4626</Characters>
  <Application>Microsoft Office Word</Application>
  <DocSecurity>0</DocSecurity>
  <Lines>81</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Laura Abreu</cp:lastModifiedBy>
  <cp:revision>4</cp:revision>
  <dcterms:created xsi:type="dcterms:W3CDTF">2021-05-31T18:30:00Z</dcterms:created>
  <dcterms:modified xsi:type="dcterms:W3CDTF">2021-05-31T18:47:00Z</dcterms:modified>
  <cp:category/>
</cp:coreProperties>
</file>